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A181" w14:textId="785B591F" w:rsidR="009D3E5D" w:rsidRPr="00096C53" w:rsidRDefault="009D3E5D" w:rsidP="009D3E5D">
      <w:pPr>
        <w:jc w:val="right"/>
      </w:pPr>
      <w:r w:rsidRPr="00096C53">
        <w:t xml:space="preserve">Warszawa, </w:t>
      </w:r>
      <w:r w:rsidR="006D1401">
        <w:t>2</w:t>
      </w:r>
      <w:r w:rsidR="00E83F9C">
        <w:t>3</w:t>
      </w:r>
      <w:r w:rsidRPr="00096C53">
        <w:t>.</w:t>
      </w:r>
      <w:r w:rsidR="008A4B3A">
        <w:t>02</w:t>
      </w:r>
      <w:r w:rsidRPr="00096C53">
        <w:t>.20</w:t>
      </w:r>
      <w:r w:rsidR="006D1401">
        <w:t>2</w:t>
      </w:r>
      <w:r w:rsidR="008A4B3A">
        <w:t>1</w:t>
      </w:r>
      <w:r w:rsidRPr="00096C53">
        <w:t xml:space="preserve"> r.</w:t>
      </w:r>
    </w:p>
    <w:p w14:paraId="10486580" w14:textId="1E65D8CB" w:rsidR="00C532EC" w:rsidRDefault="00C532EC" w:rsidP="009D3E5D">
      <w:pPr>
        <w:jc w:val="right"/>
        <w:rPr>
          <w:b/>
        </w:rPr>
      </w:pPr>
    </w:p>
    <w:p w14:paraId="4CAFECAD" w14:textId="027155BF" w:rsidR="00E80BC8" w:rsidRDefault="00877E91" w:rsidP="4F0BED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Plany filmowe</w:t>
      </w:r>
      <w:r w:rsidR="4F0BEDE7" w:rsidRPr="4F0BEDE7">
        <w:rPr>
          <w:b/>
          <w:bCs/>
          <w:sz w:val="40"/>
          <w:szCs w:val="40"/>
        </w:rPr>
        <w:t xml:space="preserve"> pełne przygód</w:t>
      </w:r>
      <w:r w:rsidR="003557E1">
        <w:rPr>
          <w:b/>
          <w:bCs/>
          <w:sz w:val="40"/>
          <w:szCs w:val="40"/>
        </w:rPr>
        <w:t>. Co warto o nich wiedzieć?</w:t>
      </w:r>
    </w:p>
    <w:p w14:paraId="4AAF2A7F" w14:textId="44FB521C" w:rsidR="001736BF" w:rsidRDefault="42A61B02" w:rsidP="00E83F9C">
      <w:pPr>
        <w:jc w:val="both"/>
        <w:rPr>
          <w:noProof/>
        </w:rPr>
      </w:pPr>
      <w:r w:rsidRPr="42A61B02">
        <w:rPr>
          <w:b/>
          <w:bCs/>
          <w:sz w:val="24"/>
          <w:szCs w:val="24"/>
        </w:rPr>
        <w:t>Aby widzowie mogli przenieść się do fikcyjnego świata, potrzebne są liczne przygotowania. Za kulisami planów filmowych rozgrywa wiele niezwykłych sytuacji. W ramach zapowiedzi maratonu „Przygodowe piątki”, przypominamy ciekawostki o produkcjach z Vinem Dieslem, Nicole Kidman i Danielem Craigiem w rolach głównych. Filmy w gwiazdorskiej obsadzie będą emitowane na antenie TNT w każdy piątek marca i kwietnia.</w:t>
      </w:r>
    </w:p>
    <w:p w14:paraId="2BAF1A43" w14:textId="7889E418" w:rsidR="00AA424E" w:rsidRPr="00E83F9C" w:rsidRDefault="00C206EA" w:rsidP="00E83F9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DAF7730" wp14:editId="5E5A3049">
            <wp:extent cx="5350389" cy="3531541"/>
            <wp:effectExtent l="0" t="0" r="3175" b="0"/>
            <wp:docPr id="1" name="Obraz 1" descr="Obraz zawierający osoba, wi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406" cy="353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581F" w14:textId="4372AEE6" w:rsidR="008A4B3A" w:rsidRDefault="4F0BEDE7" w:rsidP="4F0BEDE7">
      <w:pPr>
        <w:jc w:val="both"/>
        <w:rPr>
          <w:sz w:val="24"/>
          <w:szCs w:val="24"/>
        </w:rPr>
      </w:pPr>
      <w:r w:rsidRPr="4F0BEDE7">
        <w:rPr>
          <w:sz w:val="24"/>
          <w:szCs w:val="24"/>
        </w:rPr>
        <w:t xml:space="preserve">Mityczny świat </w:t>
      </w:r>
      <w:r w:rsidRPr="4F0BEDE7">
        <w:rPr>
          <w:b/>
          <w:bCs/>
          <w:sz w:val="24"/>
          <w:szCs w:val="24"/>
        </w:rPr>
        <w:t>„10,000 BC: Prehistoryczna legenda”</w:t>
      </w:r>
      <w:r w:rsidRPr="4F0BEDE7">
        <w:rPr>
          <w:sz w:val="24"/>
          <w:szCs w:val="24"/>
        </w:rPr>
        <w:t xml:space="preserve"> wykorzystuje nie tylko szereg konstruowanych miesiącami efektów specjalnych. Reżyser Brendan Gunn postanowił</w:t>
      </w:r>
      <w:r w:rsidR="005F2635">
        <w:rPr>
          <w:sz w:val="24"/>
          <w:szCs w:val="24"/>
        </w:rPr>
        <w:t xml:space="preserve"> </w:t>
      </w:r>
      <w:r w:rsidRPr="4F0BEDE7">
        <w:rPr>
          <w:sz w:val="24"/>
          <w:szCs w:val="24"/>
        </w:rPr>
        <w:t xml:space="preserve">stworzyć </w:t>
      </w:r>
      <w:r w:rsidR="005F2635">
        <w:rPr>
          <w:sz w:val="24"/>
          <w:szCs w:val="24"/>
        </w:rPr>
        <w:t>nowy</w:t>
      </w:r>
      <w:r w:rsidRPr="4F0BEDE7">
        <w:rPr>
          <w:sz w:val="24"/>
          <w:szCs w:val="24"/>
        </w:rPr>
        <w:t xml:space="preserve"> język, aby oddać specyfikę </w:t>
      </w:r>
      <w:r w:rsidR="00877E91">
        <w:rPr>
          <w:sz w:val="24"/>
          <w:szCs w:val="24"/>
        </w:rPr>
        <w:t>kreowanej przez niego historii</w:t>
      </w:r>
      <w:r w:rsidRPr="4F0BEDE7">
        <w:rPr>
          <w:sz w:val="24"/>
          <w:szCs w:val="24"/>
        </w:rPr>
        <w:t>. Antyczna mowa wydawała mu się niewystarczająca dla wyrażenia spektrum emocji bohaterów. Uznał też, że nie chce używać wyłącznie angielskiego. W ten sposób</w:t>
      </w:r>
      <w:r w:rsidR="005F2635">
        <w:rPr>
          <w:sz w:val="24"/>
          <w:szCs w:val="24"/>
        </w:rPr>
        <w:t>,</w:t>
      </w:r>
      <w:r w:rsidRPr="4F0BEDE7">
        <w:rPr>
          <w:sz w:val="24"/>
          <w:szCs w:val="24"/>
        </w:rPr>
        <w:t xml:space="preserve"> razem z trenerem językowym</w:t>
      </w:r>
      <w:r w:rsidR="005F2635">
        <w:rPr>
          <w:sz w:val="24"/>
          <w:szCs w:val="24"/>
        </w:rPr>
        <w:t>,</w:t>
      </w:r>
      <w:r w:rsidRPr="4F0BEDE7">
        <w:rPr>
          <w:sz w:val="24"/>
          <w:szCs w:val="24"/>
        </w:rPr>
        <w:t xml:space="preserve"> na potrzeby filmu stworzy</w:t>
      </w:r>
      <w:r w:rsidR="005F2635">
        <w:rPr>
          <w:sz w:val="24"/>
          <w:szCs w:val="24"/>
        </w:rPr>
        <w:t xml:space="preserve">ł </w:t>
      </w:r>
      <w:r w:rsidRPr="4F0BEDE7">
        <w:rPr>
          <w:sz w:val="24"/>
          <w:szCs w:val="24"/>
        </w:rPr>
        <w:t xml:space="preserve">aż 6 języków, opierając się </w:t>
      </w:r>
      <w:r w:rsidR="005F2635">
        <w:rPr>
          <w:sz w:val="24"/>
          <w:szCs w:val="24"/>
        </w:rPr>
        <w:t xml:space="preserve">głównie </w:t>
      </w:r>
      <w:r w:rsidRPr="4F0BEDE7">
        <w:rPr>
          <w:sz w:val="24"/>
          <w:szCs w:val="24"/>
        </w:rPr>
        <w:t>na dialektach afrykańskich.</w:t>
      </w:r>
    </w:p>
    <w:p w14:paraId="32C5F34F" w14:textId="69B66020" w:rsidR="00F82BC7" w:rsidRDefault="4F0BEDE7" w:rsidP="4F0BEDE7">
      <w:pPr>
        <w:jc w:val="both"/>
        <w:rPr>
          <w:sz w:val="24"/>
          <w:szCs w:val="24"/>
        </w:rPr>
      </w:pPr>
      <w:r w:rsidRPr="4F0BEDE7">
        <w:rPr>
          <w:b/>
          <w:bCs/>
          <w:sz w:val="24"/>
          <w:szCs w:val="24"/>
        </w:rPr>
        <w:t xml:space="preserve">„Posejdon” </w:t>
      </w:r>
      <w:r w:rsidRPr="4F0BEDE7">
        <w:rPr>
          <w:sz w:val="24"/>
          <w:szCs w:val="24"/>
        </w:rPr>
        <w:t xml:space="preserve">wymagał od ekipy filmowej </w:t>
      </w:r>
      <w:r w:rsidR="00877E91">
        <w:rPr>
          <w:sz w:val="24"/>
          <w:szCs w:val="24"/>
        </w:rPr>
        <w:t>równie niezwykłych</w:t>
      </w:r>
      <w:r w:rsidRPr="4F0BEDE7">
        <w:rPr>
          <w:sz w:val="24"/>
          <w:szCs w:val="24"/>
        </w:rPr>
        <w:t xml:space="preserve"> przygotowań. Jego bohaterowie padają ofiarą wypadku morskiego – statek wywraca się do góry nogami i zaczyna tonąć. Aby osiągnąć specyficzny efekt przestrzeni wywróconej górą na dół, plan zbudowano na zbiorniku wody, który pozwalał w zależności od potrzeb ją dolewać</w:t>
      </w:r>
      <w:r w:rsidR="005F2635">
        <w:rPr>
          <w:sz w:val="24"/>
          <w:szCs w:val="24"/>
        </w:rPr>
        <w:t xml:space="preserve"> lub upuszczać</w:t>
      </w:r>
      <w:r w:rsidRPr="4F0BEDE7">
        <w:rPr>
          <w:sz w:val="24"/>
          <w:szCs w:val="24"/>
        </w:rPr>
        <w:t xml:space="preserve">. </w:t>
      </w:r>
      <w:r w:rsidR="005F2635">
        <w:rPr>
          <w:sz w:val="24"/>
          <w:szCs w:val="24"/>
        </w:rPr>
        <w:t>Można powiedzieć, że</w:t>
      </w:r>
      <w:r w:rsidR="00877E91">
        <w:rPr>
          <w:sz w:val="24"/>
          <w:szCs w:val="24"/>
        </w:rPr>
        <w:t xml:space="preserve"> aktorzy</w:t>
      </w:r>
      <w:r w:rsidR="005F2635">
        <w:rPr>
          <w:sz w:val="24"/>
          <w:szCs w:val="24"/>
        </w:rPr>
        <w:t xml:space="preserve"> </w:t>
      </w:r>
      <w:r w:rsidRPr="4F0BEDE7">
        <w:rPr>
          <w:sz w:val="24"/>
          <w:szCs w:val="24"/>
        </w:rPr>
        <w:t>gra</w:t>
      </w:r>
      <w:r w:rsidR="00877E91">
        <w:rPr>
          <w:sz w:val="24"/>
          <w:szCs w:val="24"/>
        </w:rPr>
        <w:t>li</w:t>
      </w:r>
      <w:r w:rsidRPr="4F0BEDE7">
        <w:rPr>
          <w:sz w:val="24"/>
          <w:szCs w:val="24"/>
        </w:rPr>
        <w:t xml:space="preserve"> w bardzo realistycznych warunkach!</w:t>
      </w:r>
    </w:p>
    <w:p w14:paraId="6003718E" w14:textId="12F77249" w:rsidR="00A66AC3" w:rsidRDefault="4F0BEDE7" w:rsidP="4F0BEDE7">
      <w:pPr>
        <w:jc w:val="both"/>
        <w:rPr>
          <w:sz w:val="24"/>
          <w:szCs w:val="24"/>
        </w:rPr>
      </w:pPr>
      <w:r w:rsidRPr="4F0BEDE7">
        <w:rPr>
          <w:sz w:val="24"/>
          <w:szCs w:val="24"/>
        </w:rPr>
        <w:t xml:space="preserve">Produkcja </w:t>
      </w:r>
      <w:r w:rsidRPr="4F0BEDE7">
        <w:rPr>
          <w:b/>
          <w:bCs/>
          <w:sz w:val="24"/>
          <w:szCs w:val="24"/>
        </w:rPr>
        <w:t>„xXx”</w:t>
      </w:r>
      <w:r w:rsidRPr="4F0BEDE7">
        <w:rPr>
          <w:sz w:val="24"/>
          <w:szCs w:val="24"/>
        </w:rPr>
        <w:t xml:space="preserve"> pełna jest niesamowitych wyczynów kaskaderskich i sztuczek charakterystycznych dla kina akcji. Vin Diesel uczył się jeździć na motocrossie od najlepszych </w:t>
      </w:r>
      <w:r w:rsidRPr="4F0BEDE7">
        <w:rPr>
          <w:sz w:val="24"/>
          <w:szCs w:val="24"/>
        </w:rPr>
        <w:lastRenderedPageBreak/>
        <w:t>zawodników tego sportu i samodzielnie wykonywał większość stuntów. W jednym z kaskaderskich skoków z „xXx” można zauważyć najsłynniejszego skateboardera świata: Tony’ego Hawka.</w:t>
      </w:r>
    </w:p>
    <w:p w14:paraId="4CE70478" w14:textId="790C02F4" w:rsidR="00AA424E" w:rsidRPr="005F2635" w:rsidRDefault="42A61B02" w:rsidP="00AA424E">
      <w:pPr>
        <w:jc w:val="both"/>
        <w:rPr>
          <w:sz w:val="24"/>
          <w:szCs w:val="24"/>
        </w:rPr>
      </w:pPr>
      <w:r w:rsidRPr="42A61B02">
        <w:rPr>
          <w:b/>
          <w:bCs/>
          <w:sz w:val="24"/>
          <w:szCs w:val="24"/>
        </w:rPr>
        <w:t>„Złoty kompas”</w:t>
      </w:r>
      <w:r w:rsidRPr="42A61B02">
        <w:rPr>
          <w:sz w:val="24"/>
          <w:szCs w:val="24"/>
        </w:rPr>
        <w:t xml:space="preserve"> był na tyle dobrze przygotowany, że seans tego filmu z gatunku fantasy zainspirował pisarza G.R.R. Martina do rozpoczęcia prac nad ekranizacją cyklu </w:t>
      </w:r>
      <w:r w:rsidRPr="42A61B02">
        <w:rPr>
          <w:rFonts w:ascii="Calibri" w:eastAsia="Calibri" w:hAnsi="Calibri" w:cs="Calibri"/>
          <w:color w:val="000000" w:themeColor="text1"/>
          <w:sz w:val="24"/>
          <w:szCs w:val="24"/>
        </w:rPr>
        <w:t>„</w:t>
      </w:r>
      <w:r w:rsidRPr="42A61B02">
        <w:rPr>
          <w:sz w:val="24"/>
          <w:szCs w:val="24"/>
        </w:rPr>
        <w:t xml:space="preserve">Gry o tron”. Jedną z głównych gwiazd „Złotego kompasu” jest Daniel Craig, który również sam wykonywał wszystkie swoje kaskaderskie sceny. Hollywoodzka obsada, w której znalazła się też Nicole Kidman, obejmowała także ukryte aktorskie występy – uzbrojonym niedźwiedziom głosu użyczył sir Ian McKellen. </w:t>
      </w:r>
    </w:p>
    <w:p w14:paraId="5B87CB22" w14:textId="24D7335E" w:rsidR="00FF66EC" w:rsidRPr="005F2635" w:rsidRDefault="42A61B02" w:rsidP="4F0BEDE7">
      <w:pPr>
        <w:jc w:val="both"/>
        <w:rPr>
          <w:b/>
          <w:bCs/>
          <w:sz w:val="24"/>
          <w:szCs w:val="24"/>
        </w:rPr>
      </w:pPr>
      <w:r w:rsidRPr="42A61B02">
        <w:rPr>
          <w:b/>
          <w:bCs/>
          <w:sz w:val="24"/>
          <w:szCs w:val="24"/>
        </w:rPr>
        <w:t>W każdy piątek marca i kwietnia TNT wyemituje jeden z hitów kina akcji</w:t>
      </w:r>
      <w:r w:rsidR="00E83F9C">
        <w:rPr>
          <w:b/>
          <w:bCs/>
          <w:sz w:val="24"/>
          <w:szCs w:val="24"/>
        </w:rPr>
        <w:t xml:space="preserve"> </w:t>
      </w:r>
      <w:r w:rsidRPr="42A61B02">
        <w:rPr>
          <w:b/>
          <w:bCs/>
          <w:sz w:val="24"/>
          <w:szCs w:val="24"/>
        </w:rPr>
        <w:t>w ramach maratonu „Przygodowe piątki”.</w:t>
      </w:r>
    </w:p>
    <w:p w14:paraId="162CAF71" w14:textId="77777777" w:rsidR="00AA424E" w:rsidRDefault="009D3E5D" w:rsidP="009D3E5D">
      <w:pPr>
        <w:rPr>
          <w:rFonts w:cstheme="minorHAnsi"/>
          <w:b/>
          <w:sz w:val="24"/>
          <w:szCs w:val="24"/>
        </w:rPr>
      </w:pPr>
      <w:r w:rsidRPr="00ED73BF">
        <w:rPr>
          <w:rFonts w:cstheme="minorHAnsi"/>
          <w:b/>
          <w:sz w:val="24"/>
          <w:szCs w:val="24"/>
        </w:rPr>
        <w:t>Plan emisji:</w:t>
      </w:r>
    </w:p>
    <w:p w14:paraId="07C8C70B" w14:textId="345282E2" w:rsidR="003C3E1E" w:rsidRDefault="00C206EA" w:rsidP="00AA424E">
      <w:pPr>
        <w:pStyle w:val="Bezodstpw"/>
        <w:rPr>
          <w:sz w:val="24"/>
        </w:rPr>
      </w:pPr>
      <w:r>
        <w:rPr>
          <w:sz w:val="24"/>
        </w:rPr>
        <w:t>05.03, godz. 21:00 – „xXx”</w:t>
      </w:r>
    </w:p>
    <w:p w14:paraId="5C73F3AA" w14:textId="3DF96692" w:rsidR="00C206EA" w:rsidRDefault="00C206EA" w:rsidP="00AA424E">
      <w:pPr>
        <w:pStyle w:val="Bezodstpw"/>
        <w:rPr>
          <w:sz w:val="24"/>
        </w:rPr>
      </w:pPr>
      <w:r>
        <w:rPr>
          <w:sz w:val="24"/>
        </w:rPr>
        <w:t>12.03, godz. 21:</w:t>
      </w:r>
      <w:r w:rsidR="00E83F9C">
        <w:rPr>
          <w:sz w:val="24"/>
        </w:rPr>
        <w:t>05</w:t>
      </w:r>
      <w:r>
        <w:rPr>
          <w:sz w:val="24"/>
        </w:rPr>
        <w:t xml:space="preserve"> – „10,000 BC: Prehistoryczna legenda”</w:t>
      </w:r>
    </w:p>
    <w:p w14:paraId="7AA456A0" w14:textId="209879C8" w:rsidR="00C206EA" w:rsidRDefault="00C206EA" w:rsidP="00AA424E">
      <w:pPr>
        <w:pStyle w:val="Bezodstpw"/>
        <w:rPr>
          <w:sz w:val="24"/>
        </w:rPr>
      </w:pPr>
      <w:r>
        <w:rPr>
          <w:sz w:val="24"/>
        </w:rPr>
        <w:t>19.03, godz. 21:20 – „Posejdon”</w:t>
      </w:r>
    </w:p>
    <w:p w14:paraId="1484A050" w14:textId="74848E3A" w:rsidR="00C206EA" w:rsidRDefault="42A61B02" w:rsidP="00AA424E">
      <w:pPr>
        <w:pStyle w:val="Bezodstpw"/>
        <w:rPr>
          <w:sz w:val="24"/>
        </w:rPr>
      </w:pPr>
      <w:r w:rsidRPr="42A61B02">
        <w:rPr>
          <w:sz w:val="24"/>
          <w:szCs w:val="24"/>
        </w:rPr>
        <w:t>26.03, godz. 21:00 – „Złoty kompas”</w:t>
      </w:r>
    </w:p>
    <w:p w14:paraId="711ED7F7" w14:textId="770D1D5E" w:rsidR="42A61B02" w:rsidRDefault="42A61B02" w:rsidP="42A61B02">
      <w:pPr>
        <w:pStyle w:val="Bezodstpw"/>
        <w:rPr>
          <w:sz w:val="24"/>
          <w:szCs w:val="24"/>
        </w:rPr>
      </w:pPr>
      <w:r w:rsidRPr="42A61B02">
        <w:rPr>
          <w:sz w:val="24"/>
          <w:szCs w:val="24"/>
        </w:rPr>
        <w:t xml:space="preserve">02.04, godz. 20:30 </w:t>
      </w:r>
      <w:r w:rsidRPr="42A61B02">
        <w:rPr>
          <w:rFonts w:ascii="Calibri" w:eastAsia="Calibri" w:hAnsi="Calibri" w:cs="Calibri"/>
          <w:color w:val="000000" w:themeColor="text1"/>
          <w:sz w:val="24"/>
          <w:szCs w:val="24"/>
        </w:rPr>
        <w:t>– „W 80 dni dookoła świata”</w:t>
      </w:r>
    </w:p>
    <w:p w14:paraId="7B4612CF" w14:textId="760DC7BF" w:rsidR="42A61B02" w:rsidRDefault="42A61B02" w:rsidP="42A61B02">
      <w:pPr>
        <w:pStyle w:val="Bezodstpw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A61B02">
        <w:rPr>
          <w:rFonts w:ascii="Calibri" w:eastAsia="Calibri" w:hAnsi="Calibri" w:cs="Calibri"/>
          <w:color w:val="000000" w:themeColor="text1"/>
          <w:sz w:val="24"/>
          <w:szCs w:val="24"/>
        </w:rPr>
        <w:t>09.04, godz. 21:15 – „Błękitna laguna”</w:t>
      </w:r>
    </w:p>
    <w:p w14:paraId="1EBA2922" w14:textId="2F91AD67" w:rsidR="42A61B02" w:rsidRDefault="42A61B02" w:rsidP="42A61B02">
      <w:pPr>
        <w:pStyle w:val="Bezodstpw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A61B02">
        <w:rPr>
          <w:rFonts w:ascii="Calibri" w:eastAsia="Calibri" w:hAnsi="Calibri" w:cs="Calibri"/>
          <w:color w:val="000000" w:themeColor="text1"/>
          <w:sz w:val="24"/>
          <w:szCs w:val="24"/>
        </w:rPr>
        <w:t>16.04, godz. 21:30 – „Klejnot Nilu”</w:t>
      </w:r>
    </w:p>
    <w:p w14:paraId="154D8C8A" w14:textId="2A4E8B22" w:rsidR="42A61B02" w:rsidRDefault="42A61B02" w:rsidP="42A61B02">
      <w:pPr>
        <w:pStyle w:val="Bezodstpw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A61B02">
        <w:rPr>
          <w:rFonts w:ascii="Calibri" w:eastAsia="Calibri" w:hAnsi="Calibri" w:cs="Calibri"/>
          <w:color w:val="000000" w:themeColor="text1"/>
          <w:sz w:val="24"/>
          <w:szCs w:val="24"/>
        </w:rPr>
        <w:t>23.04, godz. 21:45 – „Podróż do wnętrza Ziemi”</w:t>
      </w:r>
    </w:p>
    <w:p w14:paraId="5A74CCDF" w14:textId="77371F7B" w:rsidR="42A61B02" w:rsidRDefault="42A61B02" w:rsidP="42A61B02">
      <w:pPr>
        <w:pStyle w:val="Bezodstpw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A61B02">
        <w:rPr>
          <w:rFonts w:ascii="Calibri" w:eastAsia="Calibri" w:hAnsi="Calibri" w:cs="Calibri"/>
          <w:color w:val="000000" w:themeColor="text1"/>
          <w:sz w:val="24"/>
          <w:szCs w:val="24"/>
        </w:rPr>
        <w:t>30.04, godz. 21:50 – „Podróż na Tajemniczą Wyspę”</w:t>
      </w:r>
    </w:p>
    <w:p w14:paraId="21FAC653" w14:textId="77777777" w:rsidR="00E214D1" w:rsidRDefault="00E214D1" w:rsidP="0045135B">
      <w:pPr>
        <w:pStyle w:val="Bezodstpw"/>
      </w:pPr>
    </w:p>
    <w:p w14:paraId="7D115D75" w14:textId="01856929" w:rsidR="009D3E5D" w:rsidRPr="00D12193" w:rsidRDefault="496E4272" w:rsidP="009D3E5D">
      <w:pPr>
        <w:spacing w:after="0" w:line="257" w:lineRule="auto"/>
        <w:ind w:right="522"/>
        <w:rPr>
          <w:rFonts w:cs="Calibri"/>
          <w:b/>
          <w:color w:val="000000" w:themeColor="text1"/>
          <w:sz w:val="24"/>
          <w:szCs w:val="24"/>
        </w:rPr>
      </w:pPr>
      <w:bookmarkStart w:id="0" w:name="_Hlk5356652"/>
      <w:r w:rsidRPr="496E4272">
        <w:rPr>
          <w:rFonts w:cs="Calibri"/>
          <w:b/>
          <w:bCs/>
          <w:color w:val="000000" w:themeColor="text1"/>
          <w:sz w:val="24"/>
          <w:szCs w:val="24"/>
        </w:rPr>
        <w:t>O TNT</w:t>
      </w:r>
    </w:p>
    <w:p w14:paraId="199A0CCE" w14:textId="7378C04F" w:rsidR="496E4272" w:rsidRDefault="496E4272" w:rsidP="496E4272">
      <w:pPr>
        <w:spacing w:after="0" w:line="240" w:lineRule="auto"/>
        <w:ind w:right="-714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496E4272">
        <w:rPr>
          <w:rFonts w:ascii="Arial" w:eastAsia="Arial" w:hAnsi="Arial" w:cs="Arial"/>
          <w:color w:val="000000" w:themeColor="text1"/>
          <w:sz w:val="18"/>
          <w:szCs w:val="18"/>
        </w:rPr>
        <w:t>TNT to ulubione miejsce dla ponadczasowych produkcji filmowych i serialowych. Szybka akcja, charakterne postaci, brawurowe kreacje aktorskie największych gwiazd – wszystko to czeka na widzów w programie stacji. W każdym miesiącu mogą liczyć oni na angażujące cykle tematyczne i wciągające maratony kinowych hitów. W stałej ramówce emitowane są klasyki jak m. in. „Dirty Dancing”, „Zabójcza broń”, „Matrix” czy „Siedem lat w Tybecie” oraz produkcje serialowe, wśród których znajdują się: „4 Blocks”, „Dr Quinn”, „Strażnik Teksasu”czy „Tropiciele”. Szeroka gama różnych obrazów filmowych to gwarancja rozrywki pełnej emocji. TNT jest kanałem nadawanym w jakości HD, należącym do koncernu WarnerMedia.</w:t>
      </w:r>
      <w:r>
        <w:br/>
      </w:r>
      <w:r w:rsidRPr="496E4272">
        <w:rPr>
          <w:rFonts w:ascii="Arial" w:eastAsia="Arial" w:hAnsi="Arial" w:cs="Arial"/>
          <w:color w:val="000000" w:themeColor="text1"/>
          <w:sz w:val="18"/>
          <w:szCs w:val="18"/>
        </w:rPr>
        <w:t>Więcej informacji można znaleźć na stronie tnt-tv.pl.</w:t>
      </w:r>
    </w:p>
    <w:p w14:paraId="3179E24C" w14:textId="77777777" w:rsidR="00DD67C2" w:rsidRDefault="00DD67C2" w:rsidP="009D3E5D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</w:p>
    <w:p w14:paraId="729CEFAB" w14:textId="6DD5ECA5" w:rsidR="009D3E5D" w:rsidRDefault="009D3E5D" w:rsidP="009D3E5D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Biuro prasowe </w:t>
      </w:r>
    </w:p>
    <w:p w14:paraId="09A371AE" w14:textId="77777777" w:rsidR="009D3E5D" w:rsidRPr="00115E61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Plac Trzech Krzyży 10/14</w:t>
      </w:r>
    </w:p>
    <w:p w14:paraId="5E4CCBBE" w14:textId="77777777" w:rsidR="009D3E5D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00-499 Warszawa</w:t>
      </w:r>
    </w:p>
    <w:p w14:paraId="6A3EDDE2" w14:textId="77777777" w:rsidR="0045135B" w:rsidRDefault="0045135B" w:rsidP="0045135B">
      <w:pPr>
        <w:spacing w:after="0" w:line="240" w:lineRule="auto"/>
        <w:ind w:right="-714"/>
        <w:jc w:val="both"/>
        <w:rPr>
          <w:rFonts w:cs="Arial"/>
          <w:bCs/>
          <w:sz w:val="20"/>
          <w:szCs w:val="20"/>
        </w:rPr>
      </w:pPr>
    </w:p>
    <w:p w14:paraId="4F97D9A7" w14:textId="2BE779F8" w:rsidR="009D3E5D" w:rsidRDefault="009D3E5D" w:rsidP="009D3E5D">
      <w:pPr>
        <w:spacing w:after="0" w:line="240" w:lineRule="auto"/>
        <w:ind w:left="-709" w:right="-714" w:firstLine="709"/>
        <w:jc w:val="both"/>
      </w:pPr>
      <w:r>
        <w:rPr>
          <w:rFonts w:cs="Arial"/>
          <w:bCs/>
          <w:sz w:val="20"/>
          <w:szCs w:val="20"/>
        </w:rPr>
        <w:t>Wszelkie pytania prosimy kierować na adres:</w:t>
      </w:r>
    </w:p>
    <w:p w14:paraId="17DC72D8" w14:textId="1A7FED4D" w:rsidR="009D3E5D" w:rsidRDefault="00B13251" w:rsidP="005F2635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</w:rPr>
      </w:pPr>
      <w:hyperlink r:id="rId8" w:history="1">
        <w:r w:rsidR="009D3E5D">
          <w:rPr>
            <w:rStyle w:val="Hipercze"/>
            <w:rFonts w:cs="Arial"/>
            <w:sz w:val="20"/>
            <w:szCs w:val="20"/>
          </w:rPr>
          <w:t>PR.Turner.Polska@turner.com</w:t>
        </w:r>
      </w:hyperlink>
    </w:p>
    <w:p w14:paraId="38BF5B52" w14:textId="77777777" w:rsidR="005F2635" w:rsidRPr="005F2635" w:rsidRDefault="005F2635" w:rsidP="005F2635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</w:rPr>
      </w:pPr>
    </w:p>
    <w:p w14:paraId="7F2E8CCD" w14:textId="77777777" w:rsidR="009D3E5D" w:rsidRPr="00BA73C9" w:rsidRDefault="4F0BEDE7" w:rsidP="4F0BEDE7">
      <w:pPr>
        <w:spacing w:after="0" w:line="240" w:lineRule="auto"/>
        <w:ind w:left="-709" w:right="-714" w:firstLine="709"/>
        <w:jc w:val="both"/>
        <w:rPr>
          <w:rFonts w:cs="Arial"/>
          <w:sz w:val="20"/>
          <w:szCs w:val="20"/>
        </w:rPr>
      </w:pPr>
      <w:r w:rsidRPr="4F0BEDE7">
        <w:rPr>
          <w:rFonts w:cs="Arial"/>
          <w:sz w:val="20"/>
          <w:szCs w:val="20"/>
        </w:rPr>
        <w:t>Emila Rybak</w:t>
      </w:r>
    </w:p>
    <w:p w14:paraId="37DC877D" w14:textId="3D84BDE3" w:rsidR="009D3E5D" w:rsidRPr="0091065C" w:rsidRDefault="4F0BEDE7" w:rsidP="4F0BEDE7">
      <w:pPr>
        <w:spacing w:after="0" w:line="240" w:lineRule="auto"/>
        <w:ind w:left="-709" w:right="-714" w:firstLine="709"/>
        <w:jc w:val="both"/>
        <w:rPr>
          <w:rFonts w:cs="Arial"/>
          <w:sz w:val="20"/>
          <w:szCs w:val="20"/>
        </w:rPr>
      </w:pPr>
      <w:r w:rsidRPr="4F0BEDE7">
        <w:rPr>
          <w:rFonts w:cs="Arial"/>
          <w:sz w:val="20"/>
          <w:szCs w:val="20"/>
        </w:rPr>
        <w:t>Marketing &amp; PR</w:t>
      </w:r>
    </w:p>
    <w:p w14:paraId="2246995C" w14:textId="239EB22F" w:rsidR="009D3E5D" w:rsidRPr="0091065C" w:rsidRDefault="00B13251" w:rsidP="4F0BEDE7">
      <w:pPr>
        <w:spacing w:after="0" w:line="240" w:lineRule="auto"/>
        <w:ind w:left="-709" w:right="-714" w:firstLine="709"/>
        <w:jc w:val="both"/>
        <w:rPr>
          <w:rFonts w:cs="Arial"/>
          <w:sz w:val="20"/>
          <w:szCs w:val="20"/>
        </w:rPr>
      </w:pPr>
      <w:hyperlink r:id="rId9" w:history="1">
        <w:r w:rsidR="4F0BEDE7" w:rsidRPr="4F0BEDE7">
          <w:rPr>
            <w:rStyle w:val="Hipercze"/>
            <w:rFonts w:cs="Arial"/>
            <w:sz w:val="20"/>
            <w:szCs w:val="20"/>
          </w:rPr>
          <w:t>emila.rybak@warnermedia.com</w:t>
        </w:r>
      </w:hyperlink>
      <w:r w:rsidR="4F0BEDE7" w:rsidRPr="4F0BEDE7">
        <w:rPr>
          <w:rFonts w:cs="Arial"/>
          <w:sz w:val="20"/>
          <w:szCs w:val="20"/>
        </w:rPr>
        <w:t xml:space="preserve"> </w:t>
      </w:r>
    </w:p>
    <w:p w14:paraId="624CB266" w14:textId="21E5EF9B" w:rsidR="00B31ABC" w:rsidRDefault="4F0BEDE7" w:rsidP="4F0BEDE7">
      <w:pPr>
        <w:spacing w:after="0" w:line="240" w:lineRule="auto"/>
        <w:ind w:left="-709" w:right="-714" w:firstLine="709"/>
        <w:jc w:val="both"/>
        <w:rPr>
          <w:rFonts w:cs="Arial"/>
          <w:sz w:val="20"/>
          <w:szCs w:val="20"/>
          <w:lang w:val="en-US"/>
        </w:rPr>
      </w:pPr>
      <w:r w:rsidRPr="4F0BEDE7">
        <w:rPr>
          <w:rFonts w:cs="Arial"/>
          <w:sz w:val="20"/>
          <w:szCs w:val="20"/>
          <w:lang w:val="en-US"/>
        </w:rPr>
        <w:t>+48 512 027 201</w:t>
      </w:r>
    </w:p>
    <w:p w14:paraId="649DE047" w14:textId="77777777" w:rsidR="00D06BD8" w:rsidRPr="00B31ABC" w:rsidRDefault="00D06BD8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  <w:lang w:val="en-US"/>
        </w:rPr>
      </w:pPr>
    </w:p>
    <w:p w14:paraId="454A1163" w14:textId="77777777" w:rsidR="00B31ABC" w:rsidRDefault="00B31ABC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  <w:lang w:val="en-US"/>
        </w:rPr>
      </w:pPr>
      <w:r w:rsidRPr="00B31ABC">
        <w:rPr>
          <w:rFonts w:cs="Arial"/>
          <w:bCs/>
          <w:sz w:val="20"/>
          <w:szCs w:val="20"/>
          <w:lang w:val="en-US"/>
        </w:rPr>
        <w:t>Joanna Hała</w:t>
      </w:r>
    </w:p>
    <w:p w14:paraId="49F254DB" w14:textId="77777777" w:rsidR="004024C9" w:rsidRPr="00F424B2" w:rsidRDefault="004024C9" w:rsidP="004E2F5A">
      <w:pPr>
        <w:spacing w:after="0" w:line="240" w:lineRule="auto"/>
        <w:ind w:left="-709" w:right="-714" w:firstLine="709"/>
        <w:jc w:val="both"/>
        <w:rPr>
          <w:rFonts w:cs="Arial"/>
          <w:bCs/>
          <w:sz w:val="20"/>
          <w:szCs w:val="20"/>
          <w:lang w:val="en-GB"/>
        </w:rPr>
      </w:pPr>
      <w:r w:rsidRPr="00F424B2">
        <w:rPr>
          <w:rFonts w:cs="Arial"/>
          <w:bCs/>
          <w:sz w:val="20"/>
          <w:szCs w:val="20"/>
          <w:lang w:val="en-GB"/>
        </w:rPr>
        <w:t>PR Manager | dotrelations</w:t>
      </w:r>
    </w:p>
    <w:p w14:paraId="57D894E7" w14:textId="5B1F0DFF" w:rsidR="001C428E" w:rsidRPr="00F424B2" w:rsidRDefault="42A61B02" w:rsidP="42A61B02">
      <w:pPr>
        <w:spacing w:after="0" w:line="240" w:lineRule="auto"/>
        <w:ind w:left="-709" w:right="-714" w:firstLine="709"/>
        <w:jc w:val="both"/>
        <w:rPr>
          <w:rStyle w:val="Hipercze"/>
          <w:rFonts w:cs="Arial"/>
          <w:sz w:val="20"/>
          <w:szCs w:val="20"/>
          <w:lang w:val="en-GB"/>
        </w:rPr>
      </w:pPr>
      <w:r w:rsidRPr="42A61B02">
        <w:rPr>
          <w:rStyle w:val="Hipercze"/>
          <w:rFonts w:cs="Arial"/>
          <w:sz w:val="20"/>
          <w:szCs w:val="20"/>
          <w:lang w:val="en-GB"/>
        </w:rPr>
        <w:t>joanna.hala@dotrelations.pl</w:t>
      </w:r>
    </w:p>
    <w:bookmarkEnd w:id="0"/>
    <w:p w14:paraId="7CDD9625" w14:textId="060716D3" w:rsidR="00B31ABC" w:rsidRDefault="00B31ABC" w:rsidP="00B31ABC">
      <w:pPr>
        <w:ind w:left="-709" w:right="-714" w:firstLine="709"/>
        <w:rPr>
          <w:bCs/>
          <w:color w:val="000000" w:themeColor="text1"/>
          <w:szCs w:val="18"/>
        </w:rPr>
      </w:pPr>
      <w:r w:rsidRPr="00B31ABC">
        <w:rPr>
          <w:rFonts w:cs="Arial"/>
          <w:bCs/>
          <w:sz w:val="20"/>
          <w:szCs w:val="20"/>
          <w:lang w:val="en-US"/>
        </w:rPr>
        <w:t>+48 690 995 770</w:t>
      </w:r>
    </w:p>
    <w:p w14:paraId="3D000FAC" w14:textId="77777777" w:rsidR="001C428E" w:rsidRPr="0053406F" w:rsidRDefault="001C428E" w:rsidP="004E2F5A">
      <w:pPr>
        <w:spacing w:after="0" w:line="240" w:lineRule="auto"/>
        <w:ind w:left="-709" w:right="-714" w:firstLine="709"/>
        <w:jc w:val="both"/>
        <w:rPr>
          <w:rFonts w:ascii="Arial" w:hAnsi="Arial" w:cs="Arial"/>
          <w:szCs w:val="20"/>
        </w:rPr>
      </w:pPr>
    </w:p>
    <w:sectPr w:rsidR="001C428E" w:rsidRPr="0053406F" w:rsidSect="007E2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02D44" w14:textId="77777777" w:rsidR="00B13251" w:rsidRDefault="00B13251">
      <w:pPr>
        <w:spacing w:after="0" w:line="240" w:lineRule="auto"/>
      </w:pPr>
      <w:r>
        <w:separator/>
      </w:r>
    </w:p>
  </w:endnote>
  <w:endnote w:type="continuationSeparator" w:id="0">
    <w:p w14:paraId="2B368C73" w14:textId="77777777" w:rsidR="00B13251" w:rsidRDefault="00B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B4E3" w14:textId="77777777" w:rsidR="00B13251" w:rsidRDefault="00B13251">
      <w:pPr>
        <w:spacing w:after="0" w:line="240" w:lineRule="auto"/>
      </w:pPr>
      <w:r>
        <w:separator/>
      </w:r>
    </w:p>
  </w:footnote>
  <w:footnote w:type="continuationSeparator" w:id="0">
    <w:p w14:paraId="5E47E9BB" w14:textId="77777777" w:rsidR="00B13251" w:rsidRDefault="00B1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001A9C"/>
    <w:rsid w:val="00002DEE"/>
    <w:rsid w:val="00014ABC"/>
    <w:rsid w:val="00014FE3"/>
    <w:rsid w:val="0003186D"/>
    <w:rsid w:val="00056AF7"/>
    <w:rsid w:val="00082C5A"/>
    <w:rsid w:val="000868B6"/>
    <w:rsid w:val="00091954"/>
    <w:rsid w:val="00095E93"/>
    <w:rsid w:val="00096C53"/>
    <w:rsid w:val="00097B18"/>
    <w:rsid w:val="000B3A5C"/>
    <w:rsid w:val="000C4251"/>
    <w:rsid w:val="000D071E"/>
    <w:rsid w:val="000D1696"/>
    <w:rsid w:val="000E0B63"/>
    <w:rsid w:val="00100462"/>
    <w:rsid w:val="00143508"/>
    <w:rsid w:val="00150D95"/>
    <w:rsid w:val="001736BF"/>
    <w:rsid w:val="0019056A"/>
    <w:rsid w:val="001A2D31"/>
    <w:rsid w:val="001B1EBF"/>
    <w:rsid w:val="001B25FC"/>
    <w:rsid w:val="001C428E"/>
    <w:rsid w:val="001E565A"/>
    <w:rsid w:val="00232476"/>
    <w:rsid w:val="00235C06"/>
    <w:rsid w:val="00240400"/>
    <w:rsid w:val="00262412"/>
    <w:rsid w:val="002707C5"/>
    <w:rsid w:val="00275EFD"/>
    <w:rsid w:val="00287754"/>
    <w:rsid w:val="002A52A5"/>
    <w:rsid w:val="002A6E41"/>
    <w:rsid w:val="002F7213"/>
    <w:rsid w:val="0030648C"/>
    <w:rsid w:val="00316756"/>
    <w:rsid w:val="00331CDC"/>
    <w:rsid w:val="00336EA0"/>
    <w:rsid w:val="003557E1"/>
    <w:rsid w:val="00357B68"/>
    <w:rsid w:val="0037293E"/>
    <w:rsid w:val="003A0B3C"/>
    <w:rsid w:val="003A69B6"/>
    <w:rsid w:val="003C3E1E"/>
    <w:rsid w:val="004024C9"/>
    <w:rsid w:val="0040377B"/>
    <w:rsid w:val="00405BD9"/>
    <w:rsid w:val="00413308"/>
    <w:rsid w:val="004337F6"/>
    <w:rsid w:val="00443363"/>
    <w:rsid w:val="0045135B"/>
    <w:rsid w:val="00472726"/>
    <w:rsid w:val="004843AD"/>
    <w:rsid w:val="004B2277"/>
    <w:rsid w:val="004B3E5D"/>
    <w:rsid w:val="004B5272"/>
    <w:rsid w:val="004E2F5A"/>
    <w:rsid w:val="004F258C"/>
    <w:rsid w:val="004F43BE"/>
    <w:rsid w:val="004F4E18"/>
    <w:rsid w:val="004F5D88"/>
    <w:rsid w:val="005175C9"/>
    <w:rsid w:val="00520275"/>
    <w:rsid w:val="00520A8F"/>
    <w:rsid w:val="0053406F"/>
    <w:rsid w:val="005647C4"/>
    <w:rsid w:val="00565888"/>
    <w:rsid w:val="005B045C"/>
    <w:rsid w:val="005C1F9C"/>
    <w:rsid w:val="005C5196"/>
    <w:rsid w:val="005D7E5E"/>
    <w:rsid w:val="005F0B14"/>
    <w:rsid w:val="005F2635"/>
    <w:rsid w:val="00613147"/>
    <w:rsid w:val="00617937"/>
    <w:rsid w:val="00632583"/>
    <w:rsid w:val="006425F2"/>
    <w:rsid w:val="00650356"/>
    <w:rsid w:val="0066732C"/>
    <w:rsid w:val="00672DAA"/>
    <w:rsid w:val="006A2844"/>
    <w:rsid w:val="006D1401"/>
    <w:rsid w:val="006E209D"/>
    <w:rsid w:val="006E5435"/>
    <w:rsid w:val="006F3E2A"/>
    <w:rsid w:val="00705EB7"/>
    <w:rsid w:val="0070664C"/>
    <w:rsid w:val="00733814"/>
    <w:rsid w:val="00735F7C"/>
    <w:rsid w:val="0075256A"/>
    <w:rsid w:val="007619BD"/>
    <w:rsid w:val="00797880"/>
    <w:rsid w:val="007A2F52"/>
    <w:rsid w:val="007B0A37"/>
    <w:rsid w:val="007E26BD"/>
    <w:rsid w:val="007E3B9B"/>
    <w:rsid w:val="00813DFB"/>
    <w:rsid w:val="008166DF"/>
    <w:rsid w:val="00852BC8"/>
    <w:rsid w:val="00874F39"/>
    <w:rsid w:val="00877E91"/>
    <w:rsid w:val="008A4B3A"/>
    <w:rsid w:val="008B2865"/>
    <w:rsid w:val="008D4683"/>
    <w:rsid w:val="008D7C91"/>
    <w:rsid w:val="008E3861"/>
    <w:rsid w:val="00924EAB"/>
    <w:rsid w:val="0093040C"/>
    <w:rsid w:val="00946920"/>
    <w:rsid w:val="00947C7B"/>
    <w:rsid w:val="0096441A"/>
    <w:rsid w:val="00974222"/>
    <w:rsid w:val="00983FB4"/>
    <w:rsid w:val="009A6BF9"/>
    <w:rsid w:val="009C0703"/>
    <w:rsid w:val="009D3E5D"/>
    <w:rsid w:val="009F047A"/>
    <w:rsid w:val="00A06F12"/>
    <w:rsid w:val="00A1416D"/>
    <w:rsid w:val="00A45EBE"/>
    <w:rsid w:val="00A47CEF"/>
    <w:rsid w:val="00A54742"/>
    <w:rsid w:val="00A66AC3"/>
    <w:rsid w:val="00AA424E"/>
    <w:rsid w:val="00AB55AD"/>
    <w:rsid w:val="00AC4D45"/>
    <w:rsid w:val="00AC6EB0"/>
    <w:rsid w:val="00AE7D2F"/>
    <w:rsid w:val="00B01644"/>
    <w:rsid w:val="00B03840"/>
    <w:rsid w:val="00B13251"/>
    <w:rsid w:val="00B227EC"/>
    <w:rsid w:val="00B26B58"/>
    <w:rsid w:val="00B2793C"/>
    <w:rsid w:val="00B31ABC"/>
    <w:rsid w:val="00B358E0"/>
    <w:rsid w:val="00B409B8"/>
    <w:rsid w:val="00B5068C"/>
    <w:rsid w:val="00BB0DD5"/>
    <w:rsid w:val="00BB3EA3"/>
    <w:rsid w:val="00BD4347"/>
    <w:rsid w:val="00C031EB"/>
    <w:rsid w:val="00C206EA"/>
    <w:rsid w:val="00C20E00"/>
    <w:rsid w:val="00C43374"/>
    <w:rsid w:val="00C457A3"/>
    <w:rsid w:val="00C532EC"/>
    <w:rsid w:val="00C55D0A"/>
    <w:rsid w:val="00C61118"/>
    <w:rsid w:val="00C73CE9"/>
    <w:rsid w:val="00C85EDB"/>
    <w:rsid w:val="00C94DF1"/>
    <w:rsid w:val="00CA1CC1"/>
    <w:rsid w:val="00CA22F8"/>
    <w:rsid w:val="00CA641B"/>
    <w:rsid w:val="00CC3815"/>
    <w:rsid w:val="00CC4CD7"/>
    <w:rsid w:val="00CC5B44"/>
    <w:rsid w:val="00D06BD8"/>
    <w:rsid w:val="00D06E6C"/>
    <w:rsid w:val="00D15313"/>
    <w:rsid w:val="00D22C5C"/>
    <w:rsid w:val="00D33731"/>
    <w:rsid w:val="00D82CFE"/>
    <w:rsid w:val="00D96985"/>
    <w:rsid w:val="00DA57D4"/>
    <w:rsid w:val="00DB3D5E"/>
    <w:rsid w:val="00DB50BE"/>
    <w:rsid w:val="00DD67C2"/>
    <w:rsid w:val="00DF0592"/>
    <w:rsid w:val="00E114E9"/>
    <w:rsid w:val="00E2107E"/>
    <w:rsid w:val="00E214D1"/>
    <w:rsid w:val="00E2543D"/>
    <w:rsid w:val="00E316D1"/>
    <w:rsid w:val="00E33AA0"/>
    <w:rsid w:val="00E4385C"/>
    <w:rsid w:val="00E4720F"/>
    <w:rsid w:val="00E64AF3"/>
    <w:rsid w:val="00E80BC8"/>
    <w:rsid w:val="00E81A5F"/>
    <w:rsid w:val="00E83F9C"/>
    <w:rsid w:val="00E84341"/>
    <w:rsid w:val="00EA060D"/>
    <w:rsid w:val="00EB3F28"/>
    <w:rsid w:val="00EC3C20"/>
    <w:rsid w:val="00EC6016"/>
    <w:rsid w:val="00ED54FD"/>
    <w:rsid w:val="00ED73BF"/>
    <w:rsid w:val="00EF4501"/>
    <w:rsid w:val="00EF5C53"/>
    <w:rsid w:val="00F0696D"/>
    <w:rsid w:val="00F10FEA"/>
    <w:rsid w:val="00F15FD1"/>
    <w:rsid w:val="00F263CA"/>
    <w:rsid w:val="00F3221F"/>
    <w:rsid w:val="00F424B2"/>
    <w:rsid w:val="00F63820"/>
    <w:rsid w:val="00F711AD"/>
    <w:rsid w:val="00F80608"/>
    <w:rsid w:val="00F82BC7"/>
    <w:rsid w:val="00FB4EDD"/>
    <w:rsid w:val="00FD073C"/>
    <w:rsid w:val="00FF1FBA"/>
    <w:rsid w:val="00FF66EC"/>
    <w:rsid w:val="25D23D91"/>
    <w:rsid w:val="42A61B02"/>
    <w:rsid w:val="496E4272"/>
    <w:rsid w:val="4F0BE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FA8"/>
  <w15:chartTrackingRefBased/>
  <w15:docId w15:val="{1F4330EF-CA9A-4462-B952-8F825B1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3E5D"/>
    <w:rPr>
      <w:color w:val="0563C1"/>
      <w:u w:val="single"/>
    </w:rPr>
  </w:style>
  <w:style w:type="paragraph" w:styleId="Nagwek">
    <w:name w:val="header"/>
    <w:basedOn w:val="Normalny"/>
    <w:link w:val="NagwekZnak"/>
    <w:rsid w:val="009D3E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9D3E5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18"/>
    <w:rPr>
      <w:b/>
      <w:bCs/>
      <w:sz w:val="20"/>
      <w:szCs w:val="20"/>
    </w:rPr>
  </w:style>
  <w:style w:type="paragraph" w:styleId="Bezodstpw">
    <w:name w:val="No Spacing"/>
    <w:uiPriority w:val="1"/>
    <w:qFormat/>
    <w:rsid w:val="0028775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35B"/>
    <w:rPr>
      <w:color w:val="605E5C"/>
      <w:shd w:val="clear" w:color="auto" w:fill="E1DFDD"/>
    </w:rPr>
  </w:style>
  <w:style w:type="character" w:customStyle="1" w:styleId="tytul-grupa">
    <w:name w:val="tytul-grupa"/>
    <w:basedOn w:val="Domylnaczcionkaakapitu"/>
    <w:rsid w:val="00EC3C20"/>
  </w:style>
  <w:style w:type="character" w:customStyle="1" w:styleId="tytul">
    <w:name w:val="tytul"/>
    <w:basedOn w:val="Domylnaczcionkaakapitu"/>
    <w:rsid w:val="00EC3C20"/>
  </w:style>
  <w:style w:type="character" w:styleId="UyteHipercze">
    <w:name w:val="FollowedHyperlink"/>
    <w:basedOn w:val="Domylnaczcionkaakapitu"/>
    <w:uiPriority w:val="99"/>
    <w:semiHidden/>
    <w:unhideWhenUsed/>
    <w:rsid w:val="0026241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Turner.Polska@turn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ila.rybak@warnermed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E6BF-48C8-42A5-AC73-6298BF0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Łaźniewski</dc:creator>
  <cp:keywords/>
  <dc:description/>
  <cp:lastModifiedBy>Joanna Hała</cp:lastModifiedBy>
  <cp:revision>15</cp:revision>
  <dcterms:created xsi:type="dcterms:W3CDTF">2021-02-11T09:21:00Z</dcterms:created>
  <dcterms:modified xsi:type="dcterms:W3CDTF">2021-02-23T10:26:00Z</dcterms:modified>
</cp:coreProperties>
</file>